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072245" cy="64185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СОДЕРЖАНИЕ</w:t>
      </w:r>
    </w:p>
    <w:p>
      <w:pPr>
        <w:pStyle w:val="Normal"/>
        <w:ind w:right="112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Введение…………………………………………………………………………………………………………………..3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ind w:left="0" w:right="112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Оценка образовательной деятельности АНО ДПО «Центральный многопрофильный институт»………………………………………………………………………………………………………………………..3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ind w:left="0" w:right="112" w:firstLine="709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Система управления АНО ДПО «Центральный многопрофильный институт»………………………………………………………………………………………………………………………4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ind w:left="0" w:right="112" w:firstLine="709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Организация учебного процесса………………………………………………………………………………...5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ind w:left="0" w:right="112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Содержание и качество подготовки слушателей (обучающихся)…………………………………………….7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ind w:left="0" w:right="112" w:firstLine="709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Состояние материально-технической базы………………………………………………………………….….8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ind w:left="0" w:right="112" w:firstLine="709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Кадровое обеспечение…………………………………………………………………………………………….9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ind w:left="0" w:right="112" w:firstLine="709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Оценка учебно-методического и библиотечно-информационного обеспечения……………………………………………………………………………………………………………………..9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ind w:left="0" w:right="112" w:firstLine="709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Функционирование внутренней системы оценки качества образования……………………………………………………………….................................................................................11</w:t>
      </w:r>
    </w:p>
    <w:p>
      <w:pPr>
        <w:pStyle w:val="Normal"/>
        <w:ind w:right="112" w:firstLine="709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Выводы…………………………………………………………………………..............................................................14</w:t>
      </w:r>
    </w:p>
    <w:p>
      <w:pPr>
        <w:pStyle w:val="ListParagraph"/>
        <w:ind w:left="106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Настоящее самообследование Автономной некоммерческой организации дополнительного профессионального образования </w:t>
      </w:r>
      <w:r>
        <w:rPr>
          <w:rFonts w:cs="Times New Roman" w:ascii="Times New Roman" w:hAnsi="Times New Roman"/>
          <w:b/>
          <w:sz w:val="24"/>
          <w:szCs w:val="24"/>
        </w:rPr>
        <w:t>«Центральный многопрофильный институт»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(краткое наименование – АНО ДПО «ЦМИ») проведено на основании Приказа Министерства образования и науки РФ от 14.06.2013 № 462 «Об утверждении Порядка проведения самообследования образовательной организацией», Приказа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ind w:left="0" w:firstLine="567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образовательной деятельности «Центральный институт повышения квалификации и профессиональной переподготовки»</w:t>
      </w:r>
    </w:p>
    <w:p>
      <w:pPr>
        <w:pStyle w:val="ListParagraph"/>
        <w:ind w:left="567"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</w:t>
      </w:r>
      <w:r>
        <w:rPr>
          <w:rFonts w:cs="Times New Roman" w:ascii="Times New Roman" w:hAnsi="Times New Roman"/>
          <w:b/>
          <w:sz w:val="24"/>
          <w:szCs w:val="24"/>
        </w:rPr>
        <w:t>«Центральный многопрофильный    институт»</w:t>
      </w:r>
      <w:r>
        <w:rPr>
          <w:rFonts w:cs="Times New Roman" w:ascii="Times New Roman" w:hAnsi="Times New Roman"/>
          <w:sz w:val="24"/>
          <w:szCs w:val="24"/>
        </w:rPr>
        <w:t xml:space="preserve"> (далее - Организация) создана в соответствии с Федеральным законом от 12.01.1996 № 7-ФЗ «О некоммерческих организациях» и законодательством Российской Федерации об образовании. 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Организационно-правовая форма Организации: автономная некоммерческая организация. 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Организация имеет следующий тип образовательной организации: Организация дополнительного профессионального образования. 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Предмет деятельности Организации: </w:t>
      </w:r>
      <w:r>
        <w:rPr>
          <w:rFonts w:cs="Times New Roman" w:ascii="Times New Roman" w:hAnsi="Times New Roman"/>
          <w:color w:val="000000"/>
          <w:sz w:val="24"/>
          <w:szCs w:val="24"/>
        </w:rPr>
        <w:t>ведет образовательную деятельность, в том числе деятельность по повышению квалификации, профессиональной переподготовке работников образования, достижения эффективности и высокого качества оказываемых образовательных услуг, а равно осуществляемой научной и научно-методической деятельности.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Основными целями деятельности Организации являются: непрерывное совершенствование профессиональных компетенций специалистов, их деловых качеств, подготовка к выполнению новых трудовых функций; удовлетворение информационных потребностей личности по различным областям знаний, совершенствование общекультурных, духовных, здоровьесберегающих и иных ценностей для гармонизации отношений личности и общества; осуществление научно-исследовательской деятельности, направленной на поиск, совершенствование, апробацию и внедрение новых технологий, методик, стандартов по профилю работы Организации.  </w:t>
      </w:r>
    </w:p>
    <w:p>
      <w:pPr>
        <w:pStyle w:val="Normal"/>
        <w:widowControl w:val="false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Для достижения указанных целей Организация осуществляет следующие виды деятельности: </w:t>
      </w:r>
    </w:p>
    <w:p>
      <w:pPr>
        <w:pStyle w:val="Normal"/>
        <w:widowControl w:val="false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- относящиеся к основной деятельности: </w:t>
      </w:r>
      <w:r>
        <w:rPr>
          <w:rFonts w:cs="Times New Roman" w:ascii="Times New Roman" w:hAnsi="Times New Roman"/>
          <w:sz w:val="24"/>
          <w:szCs w:val="24"/>
        </w:rPr>
        <w:t>разработка и реализация дополнительных профессиональных программ (программ повышения квалификации, программ профессиональной переподготовки); оказание консультативной, научно-методической помощи всем заинтересованным лицам, организациям, ведомствам; научная экспертиза программ, проектов, рекомендаций, других материалов по направлению деятельности Организации; организация и проведение конференций (в т.ч. и международных), семинаров, выставок, презентаций и др.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относящиеся к иным видам деятельности: </w:t>
      </w:r>
      <w:r>
        <w:rPr>
          <w:rFonts w:cs="Times New Roman" w:ascii="Times New Roman" w:hAnsi="Times New Roman"/>
          <w:sz w:val="24"/>
          <w:szCs w:val="24"/>
        </w:rPr>
        <w:t xml:space="preserve">реализация дополнительных общеобразовательных программ (дополнительных общеразвивающих программ); информационно-образовательная деятельность (организация и проведение конференций, семинаров, мастер-классов, тренингов и т.п., в том числе при реализации целевых программ, грантов); реализация сопутствующих услуг заказчикам (библиотечные услуги); консультативная деятельность; научные исследования и разработки в области общественных и гуманитарных наук (педагогических наук, психологических и других наук); постоянное изучение потребности в дополнительных образовательных услугах на рынке труда; осуществление издательской деятельности: подготовка к печати, редактирование, корректура, дизайн, тиражирование и реализация методических разработок. </w:t>
      </w:r>
    </w:p>
    <w:p>
      <w:pPr>
        <w:pStyle w:val="ListParagraph"/>
        <w:spacing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Образовательная деятельность Организации осуществляется и организована в соответствии с Конституцией Российской Федерации, Федеральным законом от 29 декабря 2012 г. № 273-ФЗ «Об образовании в Российской Федерации», Федеральным законом от 12 января 1996 г. № 7-ФЗ «О некоммерческих организациях», законом Российской Федерации от 07 февраля 1992 г. № 2300-1 «О защите прав потребителей», Постановлением Правительства РФ от 15 августа 2013 г. № 706 «Об утверждении Правил оказания платных образовательных услуг»,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Приказом Минобрнауки России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 и иными нормативными правовыми актами, а также Уставом Организации. 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2.Система управления АНО ДПО «Центральный многопрофильный институт»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567"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Управление Организацией осуществляется в соответствии с законодательством Российской Федерации и Уставом Организации на принципах сочетания единоначалия и коллегиальности. Организация самостоятельна в подборе и расстановке кадров, осуществлении учебной, научной, финансово-хозяйственной и иной деятельности в соответствии с законодательством Российской Федерации и Уставом. Органами управления Организации являются: Общее собрание работников, Педагогический совет. </w:t>
      </w:r>
    </w:p>
    <w:p>
      <w:pPr>
        <w:pStyle w:val="ConsPlus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 компетенции Общего собрания относятся: </w:t>
      </w:r>
    </w:p>
    <w:p>
      <w:pPr>
        <w:pStyle w:val="ConsPlus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рассмотрение локальных актов Организации, затрагивающих права и обязанности работников;</w:t>
      </w:r>
    </w:p>
    <w:p>
      <w:pPr>
        <w:pStyle w:val="ConsPlus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рассмотрение и обсуждение вопросов материально-технического обеспечения и оснащения образовательного процесса;</w:t>
      </w:r>
    </w:p>
    <w:p>
      <w:pPr>
        <w:pStyle w:val="ConsPlus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рекомендация работников образовательного учреждения к поощрению (награждению).</w:t>
      </w:r>
    </w:p>
    <w:p>
      <w:pPr>
        <w:pStyle w:val="ConsPlus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Основной целью Педагогического совета является объединение усилий научно-педагогических работников по реализации образовательной деятельности в Организации.</w:t>
      </w:r>
    </w:p>
    <w:p>
      <w:pPr>
        <w:pStyle w:val="ConsPlus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компетенциям Педагогического совета относятся:</w:t>
      </w:r>
    </w:p>
    <w:p>
      <w:pPr>
        <w:pStyle w:val="ConsPlus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планирование учебного процесса (учебные планы по специальностям и направлениям), в том числе увеличение сроков обучения;</w:t>
      </w:r>
    </w:p>
    <w:p>
      <w:pPr>
        <w:pStyle w:val="ConsPlus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-принятие локальных актов (положений), регламентирующих организацию образовательного процесса;</w:t>
      </w:r>
    </w:p>
    <w:p>
      <w:pPr>
        <w:pStyle w:val="ConsPlus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организация и совершенствование методического обеспечения образовательного процесса;</w:t>
      </w:r>
    </w:p>
    <w:p>
      <w:pPr>
        <w:pStyle w:val="ConsPlus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разработка перечня платных образовательных услуг.</w:t>
      </w:r>
    </w:p>
    <w:p>
      <w:pPr>
        <w:pStyle w:val="ListParagraph"/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Единоличным исполнительным органом Организации является Ректор Организации, осуществляющий текущее руководство  Организацией.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Ректором организации является доктор экономических наук, профессор Тамбиев Абубакир Хасанович</w:t>
      </w:r>
    </w:p>
    <w:p>
      <w:pPr>
        <w:pStyle w:val="ListParagraph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Ректор может исполнять свои обязанности по совместительству. Ректор несет ответственность за руководство образовательной, научной, воспитательной работой и организационно-хозяйственной деятельностью Организации, а также принимает решения единолично, решения оформляются приказами в соответствии с локальными актами Организации. Ректор Организации выступает от имени Организации.</w:t>
      </w:r>
    </w:p>
    <w:p>
      <w:pPr>
        <w:pStyle w:val="ListParagraph"/>
        <w:spacing w:lineRule="auto" w:line="240"/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компетенция Ректора относятся следующие: без доверенности действует от имени Организации, представляет его во всех учреждениях, организациях и предприятиях как на территории Российской Федерации, так и за рубежом, заключает договоры от имени Организации, выдает доверенности, издает приказы и дает указания, обязательные для всех сотрудников Организации; распоряжается в пределах утвержденной сметы средствами и имуществом Организации; имеет право подписи всех (финансовых, банковских и прочих) документов; осуществляет прием и увольнение сотрудников в соответствии с трудовым законодательством Российской Федерации.</w:t>
      </w:r>
    </w:p>
    <w:p>
      <w:pPr>
        <w:pStyle w:val="ListParagraph"/>
        <w:ind w:left="567"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Организация учебного процесса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Прием документов для зачисления на обучение слушателей (обучающихся) в АНО ДПО «Центральный многопрофильный институт»  проводится секретарем приемной комиссии в течение всего календарного года в рабочие дни, кроме субботы и воскресенья с 9-00 до 17-00 ч. 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обучение по программам дополнительного профессионального образования зачисляются лица, имеющие высшее или среднее профессиональное образование, а также граждане, получающие высшее или среднее профессиональное образование. На обучение по программам дополнительного профессионального образования принимаются граждане Российской Федерации и иностранные граждане, имеющие среднее профессиональное и (или) высшее образование, а также получающие среднее профессиональное и (или) высшее образование, соответствующее требованиям уровня дополнительной профессиональной программы. 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Организация заключает с заказчиком письменный договор на обучение. Перед началом обучения по соответствующему курсу (программе) обучения на основании заключенных договоров на обучение  издается приказ директора о зачислении слушателей на обучение. Обучение начинается со дня, определенного приказом о зачислении слушателей на обучение. </w:t>
      </w:r>
    </w:p>
    <w:p>
      <w:pPr>
        <w:pStyle w:val="ListParagraph"/>
        <w:tabs>
          <w:tab w:val="clear" w:pos="708"/>
          <w:tab w:val="left" w:pos="1176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Организация проводит обучение на русском языке. Организация проводит обучение в следующих формах: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очная, заочная и очно-заочная, с применением исключительно электронного обучения и дистанционных образовательных технологий</w:t>
      </w:r>
      <w:r>
        <w:rPr>
          <w:rFonts w:cs="Times New Roman" w:ascii="Times New Roman" w:hAnsi="Times New Roman"/>
          <w:b/>
          <w:i/>
          <w:sz w:val="24"/>
          <w:szCs w:val="24"/>
        </w:rPr>
        <w:t>.</w:t>
      </w:r>
    </w:p>
    <w:p>
      <w:pPr>
        <w:pStyle w:val="ListParagraph"/>
        <w:tabs>
          <w:tab w:val="clear" w:pos="708"/>
          <w:tab w:val="left" w:pos="11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1176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Образовательный процесс в Организации регламентируется рабочими учебными программами, календарными, учебными планами, расписаниями занятий. Продолжительность обучения определяется учебными и рабочими программами, учебными планами и формами обучения.  Пересмотр и обновление учебных программ и учебных планов проводится по мере необходимости, но не реже 1 раза в 2 года.</w:t>
      </w:r>
    </w:p>
    <w:p>
      <w:pPr>
        <w:pStyle w:val="Normal"/>
        <w:widowControl w:val="false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не менее 250 часов.</w:t>
      </w:r>
    </w:p>
    <w:p>
      <w:pPr>
        <w:pStyle w:val="Normal"/>
        <w:widowControl w:val="false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Организация проводит обучение в следующих видах: профессиональная переподготовка для получения дополнительной квалификации (свыше 500 часов); профессиональная переподготовка для выполнения нового вида деятельности (свыше 250 часов); повышение квалификации  (от 16 до 250 часов); общее усовершенствование (от 100 до 250 часов); краткосрочное тематическое усовершенствование (от 72 до 100 часов); элективные циклы усовершенствования (от 40 до 72часов); тематические и проблемные семинары (от 16 до 40 часов); стажировка (от 16 часов); информационно-образовательное обучение, включая проблемные лекции, тренинги-семинары, мастер-классы (от 16 часов).</w:t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освоении дополнительных профессиональных программ, профессиональной переподготовки,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>
      <w:pPr>
        <w:pStyle w:val="ListParagraph"/>
        <w:tabs>
          <w:tab w:val="clear" w:pos="708"/>
          <w:tab w:val="left" w:pos="1176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Организации устанавливаются следующие виды и формы учебных занятий: лекции, практические и семинарские занятия, лабораторные, контрольные работы, учебные экскурсии, выездные занятия, стажировка, семинары по обмену опытом, индивидуальные и групповые консультации, самостоятельные работы, коллоквиум, зачеты, защита курсовых, выпускных и других учебных работ, групповые и межгрупповые конференции, круглые столы, видеоконференции и др.</w:t>
      </w:r>
    </w:p>
    <w:p>
      <w:pPr>
        <w:pStyle w:val="ListParagraph"/>
        <w:spacing w:lineRule="auto" w:line="240"/>
        <w:ind w:lef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Организация использует дистанционные образовательные технологии при всех формах обучения и постоянно совершенствует методику образовательного процесса и преподавания. Образовательный процесс в Организации проводится в течение всего календарного года. </w:t>
      </w:r>
    </w:p>
    <w:p>
      <w:pPr>
        <w:pStyle w:val="ListParagraph"/>
        <w:tabs>
          <w:tab w:val="clear" w:pos="708"/>
          <w:tab w:val="left" w:pos="1176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Слушатель, выполнивший все требования учебного плана, допускается к итоговой аттестации, по результатам которой ему выдается документ о дополнительном профессиональном образовании государственного образца, удостоверение о повышении квалификации для лиц, прошедших обучение в объеме не менее 16 часов; диплом о профессиональной переподготовке для лиц, прошедших обучение по программе в объеме свыше 250 часов.</w:t>
      </w:r>
    </w:p>
    <w:p>
      <w:pPr>
        <w:pStyle w:val="ListParagraph"/>
        <w:tabs>
          <w:tab w:val="clear" w:pos="708"/>
          <w:tab w:val="left" w:pos="1176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Слушателям, успешно выдержавшим комплексный квалификационный экзамен, выдается сертификат специалиста государственного образца, дающий право заниматься медицинской и фармацевтической деятельностью, действительный на всей территории Российской Федерации. Не выдержавшим квалификационный экзамен выдается справка установленной формы.</w:t>
      </w:r>
    </w:p>
    <w:p>
      <w:pPr>
        <w:pStyle w:val="ListParagraph"/>
        <w:tabs>
          <w:tab w:val="clear" w:pos="708"/>
          <w:tab w:val="left" w:pos="1176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Слушателям, прошедшим обучение, выдается документ о соответствующем образовании и (или) квалификации. Форма выдаваемых документов определяется Организацией. Организация самостоятельна в выборе системы оценок, формы и порядка аттестации (оценки знаний) слушателей и обучающихся. Освоение дополнительных профессиональных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>
      <w:pPr>
        <w:pStyle w:val="Style22"/>
        <w:spacing w:before="0" w:after="0"/>
        <w:ind w:firstLine="567"/>
        <w:contextualSpacing/>
        <w:rPr/>
      </w:pPr>
      <w:r>
        <w:rPr>
          <w:sz w:val="24"/>
        </w:rPr>
        <w:t>Организация обеспечивает функционирование внутренней системы оценки качества образования и несет ответственность за реализацию образовательной программы в полном объеме и качество ее реализации перед заказчиками в соответствии с действующим законодательством.</w:t>
      </w:r>
    </w:p>
    <w:p>
      <w:pPr>
        <w:pStyle w:val="Style22"/>
        <w:ind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2"/>
        <w:ind w:firstLine="567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72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Содержание и качество подготовки слушателей (обучающихся)</w:t>
      </w:r>
    </w:p>
    <w:p>
      <w:pPr>
        <w:pStyle w:val="ListParagraph"/>
        <w:spacing w:lineRule="auto" w:line="240"/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Анализ содержания подготовки слушателей по представленным образовательным программам показывает, что разработанные и реализуемые в Организации образовательные программы и учебные планы соответствуют требованиям Министерства образования и науки Российской Федерации. Преподаватели используют современные педагогические и информационные технологии, направленные на активизацию познавательной деятельности обучающихся, повышение эффективности, самостоятельной работы обучаемых. Анализ документации по образовательным программам показывает, что содержание и уровень качества учебного материала соответствует квалификационным требованиям, предъявляемым должностям, профессиям и специальностям в рамках дополнительного профессионального образования.</w:t>
      </w:r>
    </w:p>
    <w:p>
      <w:pPr>
        <w:pStyle w:val="ListParagraph"/>
        <w:spacing w:lineRule="auto" w:lin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Состояние материально-технической базы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Материально-техническая база Организации соответствует современным требованиям к реализации образовательных программ дополнительного профессионального образования. Организация использует в образовательной деятельности персональные компьютеры, подключенными к информационно-телекоммуникационной сети "Интернет". Слушатели и обучающиеся Организации имеют возможность скачивать учебные материалы. Для осуществления очных занятий организация располагает (на основе договора безвозмездного пользования) современными учебными аудиториями, оснащенными необходимой мебелью и учебным и научным оборудованием. Имеется проекционное оборудование.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Организация располагает материально-технической базой, обеспечивающей проведение всех видов учебных занятий, научной работы сотрудников и обучающихся (слушателей), позволяющей реализовывать программы дополнительного профессионального образования.</w:t>
      </w:r>
    </w:p>
    <w:p>
      <w:pPr>
        <w:pStyle w:val="21"/>
        <w:shd w:val="clear" w:color="auto" w:fill="auto"/>
        <w:spacing w:lineRule="auto" w:line="240" w:before="0" w:after="0"/>
        <w:ind w:firstLine="567"/>
        <w:contextualSpacing/>
        <w:rPr/>
      </w:pPr>
      <w:r>
        <w:rPr>
          <w:sz w:val="24"/>
          <w:szCs w:val="24"/>
        </w:rPr>
        <w:t>На все помещения оформлено право пользования (необходимые правомочные документы). Все аудитории находятся в хорошем состоянии. Разрешения органов санитарно-эпидемиологической службы и пожарного надзора на проведение образовательного процесса имеются.</w:t>
      </w:r>
    </w:p>
    <w:p>
      <w:pPr>
        <w:pStyle w:val="21"/>
        <w:shd w:val="clear" w:color="auto" w:fill="auto"/>
        <w:spacing w:lineRule="auto" w:line="240" w:before="0" w:after="0"/>
        <w:ind w:firstLine="567"/>
        <w:contextualSpacing/>
        <w:rPr/>
      </w:pPr>
      <w:r>
        <w:rPr>
          <w:sz w:val="24"/>
          <w:szCs w:val="24"/>
        </w:rPr>
        <w:t>Санитарные и гигиенические нормы образовательной организации выполняются; уровень обеспечения охраны здоровья обучающихся и работников соответствует установленным требованиям.</w:t>
      </w:r>
    </w:p>
    <w:p>
      <w:pPr>
        <w:pStyle w:val="21"/>
        <w:shd w:val="clear" w:color="auto" w:fill="auto"/>
        <w:spacing w:lineRule="auto" w:line="240" w:before="0" w:after="0"/>
        <w:ind w:firstLine="567"/>
        <w:contextualSpacing/>
        <w:rPr/>
      </w:pPr>
      <w:r>
        <w:rPr>
          <w:sz w:val="24"/>
          <w:szCs w:val="24"/>
        </w:rPr>
        <w:t xml:space="preserve">Учебные и практические занятия проходят в современных аудиториях, оборудованных в соответствии с программой обучения. В учебном процессе используется мультимедийное оборудование. Аудитории оснащены </w:t>
      </w:r>
      <w:r>
        <w:rPr>
          <w:sz w:val="24"/>
          <w:szCs w:val="24"/>
          <w:lang w:val="en-US" w:eastAsia="en-US" w:bidi="en-US"/>
        </w:rPr>
        <w:t>web</w:t>
      </w:r>
      <w:r>
        <w:rPr>
          <w:sz w:val="24"/>
          <w:szCs w:val="24"/>
        </w:rPr>
        <w:t>-камерами, что позволяет включать в образовательный процесс элементы дистанционного обучения. Обучающиеся и сотрудники имеют доступ к сети Интернет.</w:t>
      </w:r>
    </w:p>
    <w:p>
      <w:pPr>
        <w:pStyle w:val="21"/>
        <w:shd w:val="clear" w:color="auto" w:fill="auto"/>
        <w:spacing w:lineRule="auto" w:line="240" w:before="0" w:after="0"/>
        <w:ind w:firstLine="567"/>
        <w:contextualSpacing/>
        <w:rPr/>
      </w:pPr>
      <w:r>
        <w:rPr>
          <w:sz w:val="24"/>
          <w:szCs w:val="24"/>
        </w:rPr>
        <w:t>В образовательной организации проведена локальная сеть, а также действует бесплатный Wi-Fi.</w:t>
      </w:r>
    </w:p>
    <w:p>
      <w:pPr>
        <w:pStyle w:val="21"/>
        <w:shd w:val="clear" w:color="auto" w:fill="auto"/>
        <w:spacing w:lineRule="auto" w:line="240" w:before="0" w:after="0"/>
        <w:ind w:firstLine="567"/>
        <w:contextualSpacing/>
        <w:rPr/>
      </w:pPr>
      <w:r>
        <w:rPr>
          <w:sz w:val="24"/>
          <w:szCs w:val="24"/>
        </w:rPr>
        <w:t>Организация располагает оборудованными аудиториями для проведения лекционных и практических занятий, оснащение которых позволяет реализовывать программы дополнительного профессионального образования.</w:t>
      </w:r>
    </w:p>
    <w:p>
      <w:pPr>
        <w:pStyle w:val="21"/>
        <w:shd w:val="clear" w:color="auto" w:fill="auto"/>
        <w:spacing w:lineRule="auto" w:line="240" w:before="0" w:after="0"/>
        <w:ind w:firstLine="567"/>
        <w:contextualSpacing/>
        <w:rPr/>
      </w:pPr>
      <w:r>
        <w:rPr>
          <w:sz w:val="24"/>
          <w:szCs w:val="24"/>
        </w:rPr>
        <w:t>Для проведения практических занятий в условиях, приближенных к реальной профессиональной деятельности, в образовательной организации имеются: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443" w:leader="none"/>
        </w:tabs>
        <w:spacing w:lineRule="auto" w:line="240" w:before="0" w:after="0"/>
        <w:ind w:firstLine="567"/>
        <w:contextualSpacing/>
        <w:rPr/>
      </w:pPr>
      <w:r>
        <w:rPr>
          <w:sz w:val="24"/>
          <w:szCs w:val="24"/>
        </w:rPr>
        <w:t>печатные пособия (учебники, учебные и методические пособия, графики, таблицы, раздаточный материал);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443" w:leader="none"/>
        </w:tabs>
        <w:spacing w:lineRule="auto" w:line="240" w:before="0" w:after="0"/>
        <w:ind w:firstLine="567"/>
        <w:contextualSpacing/>
        <w:rPr/>
      </w:pPr>
      <w:r>
        <w:rPr>
          <w:sz w:val="24"/>
          <w:szCs w:val="24"/>
        </w:rPr>
        <w:t>наглядные плоскостные (плакаты, схемы, доски аудиторные, магнитные доски);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443" w:leader="none"/>
        </w:tabs>
        <w:spacing w:lineRule="auto" w:line="240" w:before="0" w:after="0"/>
        <w:ind w:firstLine="567"/>
        <w:contextualSpacing/>
        <w:rPr/>
      </w:pPr>
      <w:r>
        <w:rPr>
          <w:sz w:val="24"/>
          <w:szCs w:val="24"/>
        </w:rPr>
        <w:t>демонстрационные (стенды, материалы и оборудование для проведения простейших медицинских манипуляций);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443" w:leader="none"/>
        </w:tabs>
        <w:spacing w:lineRule="auto" w:line="240" w:before="0" w:after="0"/>
        <w:ind w:firstLine="567"/>
        <w:contextualSpacing/>
        <w:rPr/>
      </w:pPr>
      <w:r>
        <w:rPr>
          <w:sz w:val="24"/>
          <w:szCs w:val="24"/>
        </w:rPr>
        <w:t>технические средства и компьютерные системы обучения: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443" w:leader="none"/>
        </w:tabs>
        <w:spacing w:lineRule="auto" w:line="240" w:before="0" w:after="0"/>
        <w:ind w:left="1460" w:firstLine="567"/>
        <w:contextualSpacing/>
        <w:rPr/>
      </w:pPr>
      <w:r>
        <w:rPr>
          <w:sz w:val="24"/>
          <w:szCs w:val="24"/>
        </w:rPr>
        <w:t>технические средства предъявления информации (компьютеры, мультимедийное оборудование, в т.ч. учебные видеофильмы на цифровых носителях);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443" w:leader="none"/>
        </w:tabs>
        <w:spacing w:lineRule="auto" w:line="240" w:before="0" w:after="0"/>
        <w:ind w:left="1460" w:firstLine="567"/>
        <w:contextualSpacing/>
        <w:rPr/>
      </w:pPr>
      <w:r>
        <w:rPr>
          <w:sz w:val="24"/>
          <w:szCs w:val="24"/>
        </w:rPr>
        <w:t>технические средства контроля (компьютерные тесты);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443" w:leader="none"/>
        </w:tabs>
        <w:spacing w:lineRule="auto" w:line="240" w:before="0" w:after="0"/>
        <w:ind w:left="1460" w:firstLine="567"/>
        <w:contextualSpacing/>
        <w:rPr/>
      </w:pPr>
      <w:r>
        <w:rPr>
          <w:sz w:val="24"/>
          <w:szCs w:val="24"/>
        </w:rPr>
        <w:t>технические средства управления обучением (компьютерная техника, компьютерные сети, программное обеспечение):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443" w:leader="none"/>
        </w:tabs>
        <w:spacing w:lineRule="auto" w:line="240" w:before="0" w:after="0"/>
        <w:ind w:firstLine="567"/>
        <w:contextualSpacing/>
        <w:rPr/>
      </w:pPr>
      <w:r>
        <w:rPr>
          <w:sz w:val="24"/>
          <w:szCs w:val="24"/>
        </w:rPr>
        <w:t>вспомогательные компьютерные учебные средства (электронные учебники и учебные пособия, специализированные программы).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Интерактивные панели.-5 шт.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Интерактивные доски – 4 шт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Интерактивный экран - 1 шт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Моноблоки -50 штук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Мультимедийное оборудование для студии – 7 комплектов</w:t>
      </w:r>
    </w:p>
    <w:p>
      <w:pPr>
        <w:pStyle w:val="21"/>
        <w:shd w:val="clear" w:color="auto" w:fill="auto"/>
        <w:tabs>
          <w:tab w:val="clear" w:pos="708"/>
          <w:tab w:val="left" w:pos="1443" w:leader="none"/>
        </w:tabs>
        <w:spacing w:lineRule="auto" w:line="240" w:before="0" w:after="0"/>
        <w:ind w:left="567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"/>
        <w:shd w:val="clear" w:color="auto" w:fill="auto"/>
        <w:spacing w:lineRule="auto" w:line="240" w:before="0" w:after="0"/>
        <w:ind w:firstLine="567"/>
        <w:contextualSpacing/>
        <w:jc w:val="lef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</w:r>
    </w:p>
    <w:p>
      <w:pPr>
        <w:pStyle w:val="ListParagraph"/>
        <w:numPr>
          <w:ilvl w:val="0"/>
          <w:numId w:val="1"/>
        </w:numPr>
        <w:ind w:left="72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Кадровое обеспечение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Организации работает высококвалифицированный профессорско-преподавательский состав, обладающий достаточным потенциалом для качественной подготовки слушателей. В числе преподавателей имеются кандидаты наук, доценты, профессора, а также эксперты в сфере образования. Наряду со штатными преподавателями образовательный процесс в организации осуществляют профессорско-преподавательский состав высших учебных заведений, преподавательский состав других учебных заведений, ведущие ученые, специалисты и руководители других образовательных организаций.</w:t>
      </w:r>
    </w:p>
    <w:p>
      <w:pPr>
        <w:pStyle w:val="Normal"/>
        <w:spacing w:before="0" w:after="0"/>
        <w:ind w:firstLine="567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Большое внимание уделяется повышению квалификации профессорско-преподавательскому составу и сотрудников Института. Система повышения квалификации предусматривает различные формы профессионального совершенствования: </w:t>
      </w:r>
    </w:p>
    <w:p>
      <w:pPr>
        <w:pStyle w:val="Normal"/>
        <w:spacing w:before="0" w:after="0"/>
        <w:ind w:firstLine="567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- дополнительное образование (повышение квалификации, профессиональная переподготовка. Соблюдается периодичность повышения квалификации профессорско-преподавательского состава и сотрудниками института);</w:t>
      </w:r>
    </w:p>
    <w:p>
      <w:pPr>
        <w:pStyle w:val="Normal"/>
        <w:spacing w:before="0" w:after="0"/>
        <w:ind w:firstLine="567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- послевузовское профессиональное образование;</w:t>
      </w:r>
    </w:p>
    <w:p>
      <w:pPr>
        <w:pStyle w:val="Normal"/>
        <w:spacing w:before="0" w:after="0"/>
        <w:ind w:firstLine="567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- самообразование (изучение правовых и нормативных документов; расширение кругозора в </w:t>
      </w:r>
      <w:hyperlink r:id="rId3">
        <w:r>
          <w:rPr>
            <w:rStyle w:val="Style17"/>
            <w:rFonts w:cs="Times New Roman" w:ascii="Times New Roman" w:hAnsi="Times New Roman"/>
            <w:color w:val="auto"/>
            <w:sz w:val="24"/>
            <w:szCs w:val="24"/>
            <w:u w:val="none"/>
          </w:rPr>
          <w:t>области науки</w:t>
        </w:r>
      </w:hyperlink>
      <w:r>
        <w:rPr>
          <w:rFonts w:cs="Times New Roman" w:ascii="Times New Roman" w:hAnsi="Times New Roman"/>
          <w:sz w:val="24"/>
          <w:szCs w:val="24"/>
        </w:rPr>
        <w:t>; изучение литературы профессиональной направленности; повышение педагогического мастерства; изучение, апробация и применение в </w:t>
      </w:r>
      <w:hyperlink r:id="rId4">
        <w:r>
          <w:rPr>
            <w:rStyle w:val="Style17"/>
            <w:rFonts w:cs="Times New Roman" w:ascii="Times New Roman" w:hAnsi="Times New Roman"/>
            <w:color w:val="auto"/>
            <w:sz w:val="24"/>
            <w:szCs w:val="24"/>
            <w:u w:val="none"/>
          </w:rPr>
          <w:t>преподавании новых форм</w:t>
        </w:r>
      </w:hyperlink>
      <w:r>
        <w:rPr>
          <w:rFonts w:cs="Times New Roman" w:ascii="Times New Roman" w:hAnsi="Times New Roman"/>
          <w:sz w:val="24"/>
          <w:szCs w:val="24"/>
        </w:rPr>
        <w:t>, </w:t>
      </w:r>
      <w:hyperlink r:id="rId5">
        <w:r>
          <w:rPr>
            <w:rStyle w:val="Style17"/>
            <w:rFonts w:cs="Times New Roman" w:ascii="Times New Roman" w:hAnsi="Times New Roman"/>
            <w:color w:val="auto"/>
            <w:sz w:val="24"/>
            <w:szCs w:val="24"/>
            <w:u w:val="none"/>
          </w:rPr>
          <w:t>методов приемов и средств</w:t>
        </w:r>
      </w:hyperlink>
      <w:r>
        <w:rPr>
          <w:rFonts w:cs="Times New Roman" w:ascii="Times New Roman" w:hAnsi="Times New Roman"/>
          <w:sz w:val="24"/>
          <w:szCs w:val="24"/>
        </w:rPr>
        <w:t> обучения);</w:t>
      </w:r>
    </w:p>
    <w:p>
      <w:pPr>
        <w:pStyle w:val="Normal"/>
        <w:spacing w:before="0" w:after="0"/>
        <w:ind w:firstLine="567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- участие в </w:t>
      </w:r>
      <w:hyperlink r:id="rId6">
        <w:r>
          <w:rPr>
            <w:rStyle w:val="Style"/>
            <w:rFonts w:cs="Times New Roman" w:ascii="Times New Roman" w:hAnsi="Times New Roman"/>
            <w:sz w:val="24"/>
            <w:szCs w:val="24"/>
          </w:rPr>
          <w:t>методической работе</w:t>
        </w:r>
      </w:hyperlink>
      <w:r>
        <w:rPr>
          <w:rFonts w:cs="Times New Roman" w:ascii="Times New Roman" w:hAnsi="Times New Roman"/>
          <w:sz w:val="24"/>
          <w:szCs w:val="24"/>
        </w:rPr>
        <w:t>, распространение передового педагогического опыта (проведение и участие в </w:t>
      </w:r>
      <w:hyperlink r:id="rId7">
        <w:r>
          <w:rPr>
            <w:rStyle w:val="Style"/>
            <w:rFonts w:cs="Times New Roman" w:ascii="Times New Roman" w:hAnsi="Times New Roman"/>
            <w:sz w:val="24"/>
            <w:szCs w:val="24"/>
          </w:rPr>
          <w:t>научно-практических конференциях</w:t>
        </w:r>
      </w:hyperlink>
      <w:r>
        <w:rPr>
          <w:rFonts w:cs="Times New Roman" w:ascii="Times New Roman" w:hAnsi="Times New Roman"/>
          <w:sz w:val="24"/>
          <w:szCs w:val="24"/>
        </w:rPr>
        <w:t>, семинарах, конкурсах </w:t>
      </w:r>
      <w:hyperlink r:id="rId8">
        <w:r>
          <w:rPr>
            <w:rStyle w:val="Style"/>
            <w:rFonts w:cs="Times New Roman" w:ascii="Times New Roman" w:hAnsi="Times New Roman"/>
            <w:sz w:val="24"/>
            <w:szCs w:val="24"/>
          </w:rPr>
          <w:t>методических разработок преподавателей</w:t>
        </w:r>
      </w:hyperlink>
      <w:r>
        <w:rPr>
          <w:rFonts w:cs="Times New Roman" w:ascii="Times New Roman" w:hAnsi="Times New Roman"/>
          <w:sz w:val="24"/>
          <w:szCs w:val="24"/>
        </w:rPr>
        <w:t>, конкурсах педагогического мастерства; работа в </w:t>
      </w:r>
      <w:hyperlink r:id="rId9">
        <w:r>
          <w:rPr>
            <w:rStyle w:val="Style"/>
            <w:rFonts w:cs="Times New Roman" w:ascii="Times New Roman" w:hAnsi="Times New Roman"/>
            <w:sz w:val="24"/>
            <w:szCs w:val="24"/>
          </w:rPr>
          <w:t>методических объединениях различных</w:t>
        </w:r>
      </w:hyperlink>
      <w:r>
        <w:rPr>
          <w:rFonts w:cs="Times New Roman" w:ascii="Times New Roman" w:hAnsi="Times New Roman"/>
          <w:sz w:val="24"/>
          <w:szCs w:val="24"/>
        </w:rPr>
        <w:t> уровней; публикации в </w:t>
      </w:r>
      <w:hyperlink r:id="rId10">
        <w:r>
          <w:rPr>
            <w:rStyle w:val="Style"/>
            <w:rFonts w:cs="Times New Roman" w:ascii="Times New Roman" w:hAnsi="Times New Roman"/>
            <w:sz w:val="24"/>
            <w:szCs w:val="24"/>
          </w:rPr>
          <w:t>научно-методических</w:t>
        </w:r>
      </w:hyperlink>
      <w:r>
        <w:rPr>
          <w:rFonts w:cs="Times New Roman" w:ascii="Times New Roman" w:hAnsi="Times New Roman"/>
          <w:sz w:val="24"/>
          <w:szCs w:val="24"/>
        </w:rPr>
        <w:t> изданиях).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72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Учебно-методическое обеспечение Организации позволяют реализовывать образовательные программы, предлагаемые для освоения слушателям в полном объеме. Учебно-методическое обеспечение Организации представлено образовательными программами и материалами для проведения промежуточной и итоговой аттестации слушателей. Имеющаяся в наличии учебная, научная, рекомендуемая литература и учебно-наглядные пособия позволяют в полном объеме реализовывать программы дополнительного профессионального образования. По всем учебным модулям (темам) дополнительных профессиональных образовательных программ имеется достаточное количество обязательной учебной, нормативной литературы, учебно-методических материалов, а также устройства для накопления и хранения информации (съемные жесткие диски), USB-накопители. Таким образом, информационно-методическое обеспечение позволяет организовать учебный процесс в соответствии с современными образовательными требованиями.</w:t>
      </w:r>
    </w:p>
    <w:p>
      <w:pPr>
        <w:pStyle w:val="Normal"/>
        <w:shd w:val="clear" w:color="auto" w:fill="FFFFFF"/>
        <w:spacing w:before="0" w:after="0"/>
        <w:ind w:firstLine="567"/>
        <w:contextualSpacing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Библиотека </w:t>
      </w:r>
      <w:r>
        <w:rPr>
          <w:rFonts w:cs="Times New Roman" w:ascii="Times New Roman" w:hAnsi="Times New Roman"/>
          <w:sz w:val="24"/>
          <w:szCs w:val="24"/>
        </w:rPr>
        <w:t>обеспечивает библиотечно-информационную поддержку образовательного и научного процессов путем формирования, систематизации, хранения библиотечного фонда и предоставления его в пользование работникам и обучающимся (слушателям) Организации в условиях использования современных технологий.</w:t>
      </w:r>
    </w:p>
    <w:p>
      <w:pPr>
        <w:pStyle w:val="Normal"/>
        <w:shd w:val="clear" w:color="auto" w:fill="FFFFFF"/>
        <w:spacing w:before="0" w:after="0"/>
        <w:ind w:firstLine="567"/>
        <w:contextualSpacing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</w:rPr>
        <w:t>Основные статистические показатели</w:t>
      </w:r>
      <w:r>
        <w:rPr>
          <w:rFonts w:cs="Times New Roman" w:ascii="Times New Roman" w:hAnsi="Times New Roman"/>
          <w:sz w:val="24"/>
          <w:szCs w:val="24"/>
        </w:rPr>
        <w:t xml:space="preserve"> деятельности Библиотеки:</w:t>
      </w:r>
    </w:p>
    <w:p>
      <w:pPr>
        <w:pStyle w:val="NormalWeb"/>
        <w:spacing w:before="280" w:afterAutospacing="0" w:after="0"/>
        <w:ind w:left="709" w:firstLine="567"/>
        <w:contextualSpacing/>
        <w:rPr/>
      </w:pPr>
      <w:r>
        <w:rPr/>
        <w:t xml:space="preserve">— </w:t>
      </w:r>
      <w:r>
        <w:rPr/>
        <w:t>объем библиотечного фонда (на материальных носителях) – 40000 ед. хранения;</w:t>
      </w:r>
    </w:p>
    <w:p>
      <w:pPr>
        <w:pStyle w:val="NormalWeb"/>
        <w:spacing w:before="280" w:afterAutospacing="0" w:after="0"/>
        <w:ind w:left="709" w:firstLine="567"/>
        <w:contextualSpacing/>
        <w:rPr/>
      </w:pPr>
      <w:r>
        <w:rPr/>
        <w:t xml:space="preserve">— </w:t>
      </w:r>
      <w:r>
        <w:rPr/>
        <w:t>объем библиотечного фонда в удаленном доступе – 6 БД (29 пакетов);</w:t>
      </w:r>
    </w:p>
    <w:p>
      <w:pPr>
        <w:pStyle w:val="NormalWeb"/>
        <w:spacing w:before="280" w:afterAutospacing="0" w:after="0"/>
        <w:ind w:left="709" w:firstLine="567"/>
        <w:contextualSpacing/>
        <w:rPr/>
      </w:pPr>
      <w:r>
        <w:rPr/>
        <w:t xml:space="preserve">— </w:t>
      </w:r>
      <w:r>
        <w:rPr/>
        <w:t>количество новых поступлений – 4457;</w:t>
      </w:r>
    </w:p>
    <w:p>
      <w:pPr>
        <w:pStyle w:val="NormalWeb"/>
        <w:spacing w:before="280" w:afterAutospacing="0" w:after="0"/>
        <w:ind w:left="709" w:firstLine="567"/>
        <w:contextualSpacing/>
        <w:rPr/>
      </w:pPr>
      <w:r>
        <w:rPr/>
        <w:t xml:space="preserve">— </w:t>
      </w:r>
      <w:r>
        <w:rPr/>
        <w:t>количество записей в библиографических базах данных, генерируемых Библиотекой – 4 945;</w:t>
      </w:r>
    </w:p>
    <w:p>
      <w:pPr>
        <w:pStyle w:val="NormalWeb"/>
        <w:spacing w:before="280" w:afterAutospacing="0" w:after="0"/>
        <w:ind w:left="709" w:firstLine="567"/>
        <w:contextualSpacing/>
        <w:rPr/>
      </w:pPr>
      <w:r>
        <w:rPr/>
        <w:t xml:space="preserve">— </w:t>
      </w:r>
      <w:r>
        <w:rPr/>
        <w:t>количество мест в читальных залах – 48;</w:t>
      </w:r>
    </w:p>
    <w:p>
      <w:pPr>
        <w:pStyle w:val="NormalWeb"/>
        <w:spacing w:before="280" w:afterAutospacing="0" w:after="0"/>
        <w:ind w:left="709" w:firstLine="567"/>
        <w:contextualSpacing/>
        <w:rPr/>
      </w:pPr>
      <w:r>
        <w:rPr/>
        <w:t xml:space="preserve">— </w:t>
      </w:r>
      <w:r>
        <w:rPr/>
        <w:t xml:space="preserve">общая площадь Библиотеки – 100кв.м. </w:t>
      </w:r>
    </w:p>
    <w:p>
      <w:pPr>
        <w:pStyle w:val="NormalWeb"/>
        <w:spacing w:before="280" w:afterAutospacing="0" w:after="0"/>
        <w:ind w:left="709" w:firstLine="567"/>
        <w:contextualSpacing/>
        <w:rPr/>
      </w:pPr>
      <w:r>
        <w:rPr/>
        <w:t xml:space="preserve">— </w:t>
      </w:r>
      <w:r>
        <w:rPr/>
        <w:t>количество штатных единиц – 2.</w:t>
      </w:r>
    </w:p>
    <w:p>
      <w:pPr>
        <w:pStyle w:val="NormalWeb"/>
        <w:spacing w:before="280" w:afterAutospacing="0" w:after="0"/>
        <w:ind w:firstLine="567"/>
        <w:contextualSpacing/>
        <w:rPr/>
      </w:pPr>
      <w:r>
        <w:rPr>
          <w:rStyle w:val="Strong"/>
        </w:rPr>
        <w:t>Библиотечный фонд</w:t>
      </w:r>
      <w:r>
        <w:rPr/>
        <w:t xml:space="preserve"> формируется в соответствии с, требованиями государственных образовательных стандартов и содержит свыше 20000 экземпляров печатных изданий), в т.ч.:</w:t>
      </w:r>
    </w:p>
    <w:p>
      <w:pPr>
        <w:pStyle w:val="NormalWeb"/>
        <w:spacing w:before="280" w:afterAutospacing="0" w:after="0"/>
        <w:ind w:firstLine="567"/>
        <w:contextualSpacing/>
        <w:rPr/>
      </w:pPr>
      <w:r>
        <w:rPr/>
        <w:t xml:space="preserve">— </w:t>
      </w:r>
      <w:r>
        <w:rPr/>
        <w:t>научной литературы — 8 432 экз.;</w:t>
      </w:r>
    </w:p>
    <w:p>
      <w:pPr>
        <w:pStyle w:val="NormalWeb"/>
        <w:spacing w:before="280" w:afterAutospacing="0" w:after="0"/>
        <w:ind w:firstLine="567"/>
        <w:contextualSpacing/>
        <w:rPr/>
      </w:pPr>
      <w:r>
        <w:rPr/>
        <w:t xml:space="preserve">— </w:t>
      </w:r>
      <w:r>
        <w:rPr/>
        <w:t>учебной литературы – 8 502 экз.;</w:t>
      </w:r>
    </w:p>
    <w:p>
      <w:pPr>
        <w:pStyle w:val="NormalWeb"/>
        <w:spacing w:before="280" w:afterAutospacing="0" w:after="0"/>
        <w:ind w:firstLine="567"/>
        <w:contextualSpacing/>
        <w:rPr/>
      </w:pPr>
      <w:r>
        <w:rPr/>
        <w:t xml:space="preserve">— </w:t>
      </w:r>
      <w:r>
        <w:rPr/>
        <w:t>художественной литературы – 6 177 экз.</w:t>
      </w:r>
    </w:p>
    <w:p>
      <w:pPr>
        <w:pStyle w:val="NormalWeb"/>
        <w:spacing w:before="280" w:afterAutospacing="0" w:after="0"/>
        <w:ind w:firstLine="567"/>
        <w:contextualSpacing/>
        <w:jc w:val="both"/>
        <w:rPr/>
      </w:pPr>
      <w:r>
        <w:rPr>
          <w:rStyle w:val="Strong"/>
        </w:rPr>
        <w:t>В библиотеке созданы</w:t>
      </w:r>
      <w:r>
        <w:rPr/>
        <w:t xml:space="preserve"> условия для постоянного мониторинга книгообеспеченности учебного процесса. Посредством автоматизированной библиотечно-информационной системы формируется база данных, которая ежегодно актуализируется: обновляется контингент обучающихся, учебные планы, вносятся сведения о новой литературе, поступившей в Библиотеку.</w:t>
      </w:r>
    </w:p>
    <w:p>
      <w:pPr>
        <w:pStyle w:val="NormalWeb"/>
        <w:spacing w:before="280" w:afterAutospacing="0" w:after="0"/>
        <w:ind w:firstLine="567"/>
        <w:contextualSpacing/>
        <w:rPr/>
      </w:pPr>
      <w:r>
        <w:rPr>
          <w:rStyle w:val="Strong"/>
        </w:rPr>
        <w:t>База данных</w:t>
      </w:r>
      <w:r>
        <w:rPr/>
        <w:t xml:space="preserve"> «Выпускные квалификационные работы»;</w:t>
      </w:r>
    </w:p>
    <w:p>
      <w:pPr>
        <w:pStyle w:val="NormalWeb"/>
        <w:spacing w:before="280" w:afterAutospacing="0" w:after="0"/>
        <w:ind w:firstLine="567"/>
        <w:contextualSpacing/>
        <w:rPr/>
      </w:pPr>
      <w:r>
        <w:rPr>
          <w:rStyle w:val="Strong"/>
        </w:rPr>
        <w:t>База данных</w:t>
      </w:r>
      <w:r>
        <w:rPr/>
        <w:t xml:space="preserve"> «Заказанные издания».</w:t>
      </w:r>
    </w:p>
    <w:p>
      <w:pPr>
        <w:pStyle w:val="NormalWeb"/>
        <w:spacing w:before="280" w:after="280"/>
        <w:ind w:firstLine="567"/>
        <w:contextualSpacing/>
        <w:rPr/>
      </w:pPr>
      <w:r>
        <w:rPr>
          <w:rStyle w:val="Strong"/>
        </w:rPr>
        <w:t>Количество АРМ для читателей — 44</w:t>
      </w:r>
      <w:r>
        <w:rPr/>
        <w:t>.</w:t>
      </w:r>
    </w:p>
    <w:p>
      <w:pPr>
        <w:pStyle w:val="NormalWeb"/>
        <w:spacing w:before="280" w:after="280"/>
        <w:ind w:firstLine="567"/>
        <w:contextualSpacing/>
        <w:rPr/>
      </w:pPr>
      <w:r>
        <w:rPr/>
        <w:t>Библиотека обслуживает читателей в режиме автоматизированной выдачи документов библиотечного фонда с использованием электронных пропусков в качестве читательских билетов и технологии штрихового кодирования.</w:t>
      </w:r>
    </w:p>
    <w:p>
      <w:pPr>
        <w:pStyle w:val="NormalWeb"/>
        <w:spacing w:before="280" w:after="280"/>
        <w:ind w:firstLine="567"/>
        <w:contextualSpacing/>
        <w:rPr/>
      </w:pPr>
      <w:r>
        <w:rPr/>
        <w:t>Читальный зал студентов предоставляет пользователям доступ в Интернет с использованием технологии Wi-Fi.</w:t>
      </w:r>
    </w:p>
    <w:p>
      <w:pPr>
        <w:pStyle w:val="NormalWeb"/>
        <w:spacing w:before="280" w:after="280"/>
        <w:ind w:firstLine="567"/>
        <w:contextualSpacing/>
        <w:jc w:val="both"/>
        <w:rPr/>
      </w:pPr>
      <w:r>
        <w:rPr>
          <w:rStyle w:val="Strong"/>
        </w:rPr>
        <w:t>С целью представления сведений</w:t>
      </w:r>
      <w:r>
        <w:rPr/>
        <w:t xml:space="preserve"> о Библиотеке, о библиотечно-информационных ресурсах, услугах, предоставляемых пользователям, об учебном, научном и культурном потенциале Библиотеки организована работа </w:t>
      </w:r>
      <w:hyperlink r:id="rId11">
        <w:r>
          <w:rPr>
            <w:rStyle w:val="Style17"/>
            <w:bCs/>
            <w:color w:val="auto"/>
            <w:u w:val="none"/>
          </w:rPr>
          <w:t>сайта библиотеки</w:t>
        </w:r>
      </w:hyperlink>
      <w:r>
        <w:rPr/>
        <w:t>. Содержание сайта ориентировано, прежде всего, на информационные потребности и запросы обучающихся и преподавателей института.</w:t>
      </w:r>
    </w:p>
    <w:p>
      <w:pPr>
        <w:pStyle w:val="ListParagraph"/>
        <w:numPr>
          <w:ilvl w:val="0"/>
          <w:numId w:val="1"/>
        </w:numPr>
        <w:ind w:left="72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Функционирование внутренней системы оценки качества образования</w:t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соответствии с требованиями Федерального закона от 29.12.2012 N 273-ФЗ «Об образовании в Российской Федерации», статьи 28, пункта 2, подпункта 13 (к компетенции образовательной организации в установленной сфере деятельности относится «обеспечение функционирования внутренней системы оценки качества образования в образовательной организации), Постановления Правительства РФ № 662 от 05.08.2013 г. «Об осуществлении мониторинга системы образования» в «Центральный многопрофильный институт» создана и осуществляется внутренняя система оценки качества образования.</w:t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Внутренняя система оценки качества образования – совокупность организационных норм и правил, обеспечивающих объективную информацию и последующую оценку образовательных достижений слушателей организации. </w:t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Система мониторинга качества образования АНО ДПО «Центральный многопрофильный институт» является составной частью системы оценки качества образования и проводится в отношении соответствия результатов освоения дополнительных (профессиональных) программ заявленным целям и планируемым результатам обучения, соответствия процедуры (процесса) организации и осуществления дополнительной (профессиональной) программы установленным требованиям к структуре, порядку и условиям реализации программ, а также способности образовательной организации результативно и эффективно выполнять деятельность по предоставлению образовательных услуг. </w:t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 целью повышения эффективности образовательной деятельности в Организации проводится анкетирование слушателей, закончивших обучение. Результаты анкетирования обобщаются и анализируются, что позволяет учитывать замечания и рекомендации слушателей в совершенствовании качества организации образовательной деятельности. 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570" w:leader="none"/>
          <w:tab w:val="center" w:pos="7498" w:leader="none"/>
        </w:tabs>
        <w:spacing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6570" w:leader="none"/>
          <w:tab w:val="center" w:pos="7498" w:leader="none"/>
        </w:tabs>
        <w:spacing w:before="0" w:after="200"/>
        <w:ind w:firstLine="567"/>
        <w:contextualSpacing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Выводы</w:t>
      </w:r>
    </w:p>
    <w:p>
      <w:pPr>
        <w:pStyle w:val="Normal"/>
        <w:tabs>
          <w:tab w:val="clear" w:pos="708"/>
          <w:tab w:val="left" w:pos="6570" w:leader="none"/>
          <w:tab w:val="center" w:pos="7498" w:leader="none"/>
        </w:tabs>
        <w:spacing w:before="0" w:after="200"/>
        <w:ind w:firstLine="567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Квалифицированный педагогический коллектив обеспечивает качественную подготовку слушателей по заявленным образовательным программам. Организационно-правовое обеспечение образовательной деятельности соответствует требованиям законодательства РФ, Уставу АНО ДПО </w:t>
      </w:r>
      <w:r>
        <w:rPr>
          <w:rFonts w:cs="Times New Roman" w:ascii="Times New Roman" w:hAnsi="Times New Roman"/>
          <w:b/>
          <w:sz w:val="24"/>
          <w:szCs w:val="24"/>
        </w:rPr>
        <w:t>«Центральный многопрофильный институт»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Состояние материально-технической базы соответствует требованиям, предъявляемым к современному научно-образовательному комплексу.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12"/>
      <w:type w:val="nextPage"/>
      <w:pgSz w:orient="landscape" w:w="16838" w:h="11906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0fe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uiPriority w:val="99"/>
    <w:qFormat/>
    <w:rsid w:val="00a1788a"/>
    <w:rPr>
      <w:rFonts w:ascii="Times New Roman" w:hAnsi="Times New Roman" w:eastAsia="Times New Roman" w:cs="Times New Roman"/>
      <w:sz w:val="28"/>
      <w:szCs w:val="24"/>
    </w:rPr>
  </w:style>
  <w:style w:type="character" w:styleId="Style15" w:customStyle="1">
    <w:name w:val="Название Знак"/>
    <w:basedOn w:val="DefaultParagraphFont"/>
    <w:link w:val="a7"/>
    <w:qFormat/>
    <w:rsid w:val="00a1788a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6" w:customStyle="1">
    <w:name w:val="Подзаголовок Знак"/>
    <w:basedOn w:val="DefaultParagraphFont"/>
    <w:link w:val="a9"/>
    <w:uiPriority w:val="11"/>
    <w:qFormat/>
    <w:rsid w:val="00a1788a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1" w:customStyle="1">
    <w:name w:val="Заголовок №1_"/>
    <w:basedOn w:val="DefaultParagraphFont"/>
    <w:link w:val="10"/>
    <w:qFormat/>
    <w:rsid w:val="00b1229a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" w:customStyle="1">
    <w:name w:val="Основной текст (2)_"/>
    <w:basedOn w:val="DefaultParagraphFont"/>
    <w:link w:val="20"/>
    <w:qFormat/>
    <w:rsid w:val="00b1229a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rong">
    <w:name w:val="Strong"/>
    <w:basedOn w:val="DefaultParagraphFont"/>
    <w:uiPriority w:val="22"/>
    <w:qFormat/>
    <w:rsid w:val="00134aed"/>
    <w:rPr>
      <w:b/>
      <w:bCs/>
    </w:rPr>
  </w:style>
  <w:style w:type="character" w:styleId="Style17">
    <w:name w:val="Интернет-ссылка"/>
    <w:basedOn w:val="DefaultParagraphFont"/>
    <w:uiPriority w:val="99"/>
    <w:semiHidden/>
    <w:unhideWhenUsed/>
    <w:rsid w:val="00134aed"/>
    <w:rPr>
      <w:color w:val="0000FF"/>
      <w:u w:val="single"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5e0385"/>
    <w:rPr/>
  </w:style>
  <w:style w:type="character" w:styleId="Style19" w:customStyle="1">
    <w:name w:val="Нижний колонтитул Знак"/>
    <w:basedOn w:val="DefaultParagraphFont"/>
    <w:link w:val="af0"/>
    <w:uiPriority w:val="99"/>
    <w:qFormat/>
    <w:rsid w:val="005e0385"/>
    <w:rPr/>
  </w:style>
  <w:style w:type="character" w:styleId="Style20" w:customStyle="1">
    <w:name w:val="Текст выноски Знак"/>
    <w:basedOn w:val="DefaultParagraphFont"/>
    <w:link w:val="af2"/>
    <w:uiPriority w:val="99"/>
    <w:semiHidden/>
    <w:qFormat/>
    <w:rsid w:val="000d0091"/>
    <w:rPr>
      <w:rFonts w:ascii="Tahoma" w:hAnsi="Tahoma" w:cs="Tahoma"/>
      <w:sz w:val="16"/>
      <w:szCs w:val="1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link w:val="a6"/>
    <w:uiPriority w:val="99"/>
    <w:rsid w:val="00a1788a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1788a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ConsPlusNormal" w:customStyle="1">
    <w:name w:val="ConsPlusNormal"/>
    <w:qFormat/>
    <w:rsid w:val="00a1788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Arial Unicode MS" w:cs="Arial"/>
      <w:color w:val="auto"/>
      <w:kern w:val="0"/>
      <w:sz w:val="20"/>
      <w:szCs w:val="20"/>
      <w:lang w:val="ru-RU" w:eastAsia="ru-RU" w:bidi="ar-SA"/>
    </w:rPr>
  </w:style>
  <w:style w:type="paragraph" w:styleId="Style26">
    <w:name w:val="Title"/>
    <w:basedOn w:val="Normal"/>
    <w:next w:val="Normal"/>
    <w:link w:val="a8"/>
    <w:qFormat/>
    <w:rsid w:val="00a1788a"/>
    <w:pPr>
      <w:suppressAutoHyphens w:val="true"/>
      <w:spacing w:lineRule="auto" w:line="240" w:before="0" w:after="0"/>
      <w:ind w:right="-567" w:hanging="0"/>
      <w:jc w:val="center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Style27">
    <w:name w:val="Subtitle"/>
    <w:basedOn w:val="Normal"/>
    <w:next w:val="Normal"/>
    <w:link w:val="aa"/>
    <w:uiPriority w:val="11"/>
    <w:qFormat/>
    <w:rsid w:val="00a1788a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11" w:customStyle="1">
    <w:name w:val="Заголовок №1"/>
    <w:basedOn w:val="Normal"/>
    <w:link w:val="1"/>
    <w:qFormat/>
    <w:rsid w:val="00b1229a"/>
    <w:pPr>
      <w:widowControl w:val="false"/>
      <w:shd w:val="clear" w:color="auto" w:fill="FFFFFF"/>
      <w:spacing w:lineRule="exact" w:line="310" w:before="0" w:after="180"/>
      <w:jc w:val="right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1" w:customStyle="1">
    <w:name w:val="Основной текст (2)"/>
    <w:basedOn w:val="Normal"/>
    <w:link w:val="2"/>
    <w:qFormat/>
    <w:rsid w:val="00b1229a"/>
    <w:pPr>
      <w:widowControl w:val="false"/>
      <w:shd w:val="clear" w:color="auto" w:fill="FFFFFF"/>
      <w:spacing w:lineRule="exact" w:line="475" w:before="440" w:after="280"/>
      <w:ind w:hanging="34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134a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"/>
    <w:uiPriority w:val="99"/>
    <w:unhideWhenUsed/>
    <w:rsid w:val="005e03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f1"/>
    <w:uiPriority w:val="99"/>
    <w:unhideWhenUsed/>
    <w:rsid w:val="005e03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0d00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178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nethash.ru/departament-obrazovaniya-i-nauki-kostromskoj-oblasti-oblastnoe.html" TargetMode="External"/><Relationship Id="rId4" Type="http://schemas.openxmlformats.org/officeDocument/2006/relationships/hyperlink" Target="http://www.nethash.ru/virtualenaya-kommunikaciya-kak-odna-iz-effektivnih-interaktivn.html" TargetMode="External"/><Relationship Id="rId5" Type="http://schemas.openxmlformats.org/officeDocument/2006/relationships/hyperlink" Target="http://www.nethash.ru/igore-n-bekman-kompeyuteri-v-informatike.html" TargetMode="External"/><Relationship Id="rId6" Type="http://schemas.openxmlformats.org/officeDocument/2006/relationships/hyperlink" Target="http://www.nethash.ru/zam-direktora-po-nauchno-metodicheskoj-rabote-gitinova-r-a.html" TargetMode="External"/><Relationship Id="rId7" Type="http://schemas.openxmlformats.org/officeDocument/2006/relationships/hyperlink" Target="http://www.nethash.ru/nauchnaya-tema-kafedri.html" TargetMode="External"/><Relationship Id="rId8" Type="http://schemas.openxmlformats.org/officeDocument/2006/relationships/hyperlink" Target="http://www.nethash.ru/entr-obrazovatelenih-razrabotok.html" TargetMode="External"/><Relationship Id="rId9" Type="http://schemas.openxmlformats.org/officeDocument/2006/relationships/hyperlink" Target="http://www.nethash.ru/metodicheskie-rekomendacii-proektirovanie-programmnogo-polya-d.html" TargetMode="External"/><Relationship Id="rId10" Type="http://schemas.openxmlformats.org/officeDocument/2006/relationships/hyperlink" Target="http://www.nethash.ru/vistuplenie-na-nauchno-prakticheskoj-konferencii-zapadnogo-zon.html" TargetMode="External"/><Relationship Id="rId11" Type="http://schemas.openxmlformats.org/officeDocument/2006/relationships/hyperlink" Target="http://library.vsau.ru/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F591-63FE-4394-8553-B5CA8F6C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LibreOffice/6.3.4.2$Linux_X86_64 LibreOffice_project/30$Build-2</Application>
  <Pages>12</Pages>
  <Words>2540</Words>
  <Characters>21915</Characters>
  <CharactersWithSpaces>24372</CharactersWithSpaces>
  <Paragraphs>117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2018-03-01T12:05:00Z</dcterms:created>
  <dc:creator>111</dc:creator>
  <dc:description/>
  <dc:language>ru-RU</dc:language>
  <cp:lastModifiedBy/>
  <dcterms:modified xsi:type="dcterms:W3CDTF">2020-03-05T14:14:20Z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